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
    <w:p w:rsidR="00187C94" w:rsidRPr="00336D4C" w:rsidRDefault="00187C94" w:rsidP="00C724CF">
      <w:pPr>
        <w:suppressAutoHyphens/>
        <w:spacing w:after="0" w:line="240" w:lineRule="auto"/>
        <w:rPr>
          <w:rFonts w:asciiTheme="minorHAnsi" w:hAnsiTheme="minorHAnsi" w:cstheme="minorHAnsi"/>
          <w:sz w:val="18"/>
          <w:szCs w:val="18"/>
        </w:rPr>
      </w:pPr>
      <w:r w:rsidRPr="00336D4C">
        <w:rPr>
          <w:rFonts w:asciiTheme="minorHAnsi" w:hAnsiTheme="minorHAnsi" w:cstheme="minorHAnsi"/>
          <w:sz w:val="18"/>
          <w:szCs w:val="18"/>
        </w:rPr>
        <w:t>Číslo smlouvy objednatele:</w:t>
      </w:r>
    </w:p>
    <w:p w:rsidR="00187C94" w:rsidRPr="00336D4C" w:rsidRDefault="00187C94" w:rsidP="00C724CF">
      <w:pPr>
        <w:suppressAutoHyphens/>
        <w:spacing w:after="0" w:line="240" w:lineRule="auto"/>
        <w:rPr>
          <w:rFonts w:asciiTheme="minorHAnsi" w:hAnsiTheme="minorHAnsi" w:cstheme="minorHAnsi"/>
          <w:sz w:val="18"/>
          <w:szCs w:val="18"/>
        </w:rPr>
      </w:pPr>
      <w:r w:rsidRPr="00336D4C">
        <w:rPr>
          <w:rFonts w:asciiTheme="minorHAnsi" w:hAnsiTheme="minorHAnsi" w:cstheme="minorHAnsi"/>
          <w:sz w:val="18"/>
          <w:szCs w:val="18"/>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se 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rejstříku   </w:t>
      </w:r>
      <w:r w:rsidRPr="00C45593">
        <w:rPr>
          <w:rFonts w:eastAsia="Times New Roman" w:cs="Calibri"/>
          <w:b/>
          <w:sz w:val="24"/>
          <w:szCs w:val="24"/>
          <w:highlight w:val="lightGray"/>
          <w:lang w:eastAsia="cs-CZ"/>
        </w:rPr>
        <w:t>............................................................</w:t>
      </w:r>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díla  definovaného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ED2513">
        <w:rPr>
          <w:rFonts w:asciiTheme="minorHAnsi" w:hAnsiTheme="minorHAnsi" w:cstheme="minorHAnsi"/>
          <w:b/>
          <w:bCs/>
          <w:sz w:val="24"/>
          <w:szCs w:val="24"/>
        </w:rPr>
        <w:t>Protihluková opatření 2020 – II. etapa měření</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CE11E0" w:rsidRDefault="00221E21" w:rsidP="00A46E02">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6A72EB">
        <w:rPr>
          <w:rFonts w:asciiTheme="minorHAnsi" w:hAnsiTheme="minorHAnsi" w:cstheme="minorHAnsi"/>
          <w:sz w:val="24"/>
          <w:szCs w:val="24"/>
        </w:rPr>
        <w:t xml:space="preserve">provést </w:t>
      </w:r>
      <w:r w:rsidR="004861A3">
        <w:rPr>
          <w:rFonts w:asciiTheme="minorHAnsi" w:hAnsiTheme="minorHAnsi" w:cstheme="minorHAnsi"/>
          <w:sz w:val="24"/>
          <w:szCs w:val="24"/>
        </w:rPr>
        <w:t xml:space="preserve">autorizované (popřípadě akreditované) </w:t>
      </w:r>
      <w:r w:rsidR="006A72EB">
        <w:rPr>
          <w:rFonts w:asciiTheme="minorHAnsi" w:hAnsiTheme="minorHAnsi" w:cstheme="minorHAnsi"/>
          <w:sz w:val="24"/>
          <w:szCs w:val="24"/>
        </w:rPr>
        <w:t>měření hluku z dopravy v rámci II. etapy a následné vypracování studie, na jejímž základě budou navrhnuta konkrétní protihluková opatření</w:t>
      </w:r>
      <w:r w:rsidR="00A46E02">
        <w:rPr>
          <w:rFonts w:asciiTheme="minorHAnsi" w:hAnsiTheme="minorHAnsi" w:cstheme="minorHAnsi"/>
          <w:sz w:val="24"/>
          <w:szCs w:val="24"/>
        </w:rPr>
        <w:t>.</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p>
    <w:p w:rsidR="00A46E02" w:rsidRPr="00A46E02" w:rsidRDefault="00A46E02" w:rsidP="00C0110F">
      <w:pPr>
        <w:pStyle w:val="Odstavecseseznamem"/>
        <w:numPr>
          <w:ilvl w:val="0"/>
          <w:numId w:val="14"/>
        </w:numPr>
        <w:overflowPunct w:val="0"/>
        <w:autoSpaceDE w:val="0"/>
        <w:spacing w:before="120" w:after="120"/>
        <w:ind w:hanging="720"/>
        <w:jc w:val="both"/>
        <w:textAlignment w:val="baseline"/>
        <w:rPr>
          <w:rFonts w:asciiTheme="minorHAnsi" w:hAnsiTheme="minorHAnsi" w:cstheme="minorHAnsi"/>
          <w:b/>
          <w:sz w:val="24"/>
          <w:szCs w:val="24"/>
        </w:rPr>
      </w:pPr>
      <w:r w:rsidRPr="00A46E02">
        <w:rPr>
          <w:rFonts w:asciiTheme="minorHAnsi" w:hAnsiTheme="minorHAnsi" w:cstheme="minorHAnsi"/>
          <w:b/>
          <w:sz w:val="24"/>
          <w:szCs w:val="24"/>
        </w:rPr>
        <w:t>Měřené úseky:</w:t>
      </w:r>
    </w:p>
    <w:p w:rsidR="00A46E02" w:rsidRDefault="00A46E02" w:rsidP="00A46E02">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 II/348 Polná</w:t>
      </w:r>
    </w:p>
    <w:p w:rsidR="00A46E02" w:rsidRDefault="00A46E02" w:rsidP="00A46E02">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 II/405 Brtnice</w:t>
      </w:r>
    </w:p>
    <w:p w:rsidR="00A46E02" w:rsidRDefault="00A46E02" w:rsidP="00C0110F">
      <w:pPr>
        <w:pStyle w:val="Odstavecseseznamem"/>
        <w:numPr>
          <w:ilvl w:val="0"/>
          <w:numId w:val="14"/>
        </w:numPr>
        <w:overflowPunct w:val="0"/>
        <w:autoSpaceDE w:val="0"/>
        <w:spacing w:before="120" w:after="120"/>
        <w:ind w:hanging="720"/>
        <w:jc w:val="both"/>
        <w:textAlignment w:val="baseline"/>
        <w:rPr>
          <w:rFonts w:asciiTheme="minorHAnsi" w:hAnsiTheme="minorHAnsi" w:cstheme="minorHAnsi"/>
          <w:b/>
          <w:sz w:val="24"/>
          <w:szCs w:val="24"/>
        </w:rPr>
      </w:pPr>
      <w:r w:rsidRPr="00A46E02">
        <w:rPr>
          <w:rFonts w:asciiTheme="minorHAnsi" w:hAnsiTheme="minorHAnsi" w:cstheme="minorHAnsi"/>
          <w:b/>
          <w:sz w:val="24"/>
          <w:szCs w:val="24"/>
        </w:rPr>
        <w:t>Požadavky na zpracování II. etapy:</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a)</w:t>
      </w:r>
      <w:r>
        <w:rPr>
          <w:rFonts w:cs="Calibri"/>
          <w:sz w:val="24"/>
          <w:szCs w:val="24"/>
        </w:rPr>
        <w:tab/>
        <w:t>Situace širších vztahů se zakreslením výše jmenovaných úseků</w:t>
      </w:r>
      <w:r w:rsidRPr="004D1CE2">
        <w:rPr>
          <w:rFonts w:cs="Calibri"/>
          <w:sz w:val="24"/>
          <w:szCs w:val="24"/>
        </w:rPr>
        <w:t xml:space="preserve">. </w:t>
      </w:r>
    </w:p>
    <w:p w:rsidR="00A46E02" w:rsidRDefault="00A46E02" w:rsidP="00A46E02">
      <w:pPr>
        <w:pStyle w:val="Odstavecseseznamem"/>
        <w:spacing w:before="120" w:after="120" w:line="240" w:lineRule="auto"/>
        <w:ind w:left="1843" w:hanging="567"/>
        <w:jc w:val="both"/>
        <w:rPr>
          <w:rFonts w:cs="Calibri"/>
          <w:b/>
          <w:sz w:val="24"/>
          <w:szCs w:val="24"/>
        </w:rPr>
      </w:pPr>
      <w:r>
        <w:rPr>
          <w:rFonts w:cs="Calibri"/>
          <w:sz w:val="24"/>
          <w:szCs w:val="24"/>
        </w:rPr>
        <w:t>b)</w:t>
      </w:r>
      <w:r>
        <w:rPr>
          <w:rFonts w:cs="Calibri"/>
          <w:sz w:val="24"/>
          <w:szCs w:val="24"/>
        </w:rPr>
        <w:tab/>
        <w:t xml:space="preserve">Podrobná hluková studie – adresní body, chráněné objekty, vertikální průběh hodnot </w:t>
      </w:r>
      <w:proofErr w:type="spellStart"/>
      <w:r>
        <w:rPr>
          <w:rFonts w:cs="Calibri"/>
          <w:sz w:val="24"/>
          <w:szCs w:val="24"/>
        </w:rPr>
        <w:t>A</w:t>
      </w:r>
      <w:r w:rsidRPr="004D1CE2">
        <w:rPr>
          <w:rFonts w:cs="Calibri"/>
          <w:sz w:val="24"/>
          <w:szCs w:val="24"/>
          <w:vertAlign w:val="subscript"/>
        </w:rPr>
        <w:t>Aeq</w:t>
      </w:r>
      <w:proofErr w:type="spellEnd"/>
      <w:r>
        <w:rPr>
          <w:rFonts w:cs="Calibri"/>
          <w:sz w:val="24"/>
          <w:szCs w:val="24"/>
        </w:rPr>
        <w:t xml:space="preserve"> na chráněných fasádách a dvě další krátkodobá měření, každé z nejvíce exponovaných míst.</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sidRPr="004861A3">
        <w:rPr>
          <w:rFonts w:cs="Calibri"/>
          <w:sz w:val="24"/>
          <w:szCs w:val="24"/>
        </w:rPr>
        <w:t>c)</w:t>
      </w:r>
      <w:r w:rsidRPr="004861A3">
        <w:rPr>
          <w:rFonts w:cs="Calibri"/>
          <w:sz w:val="24"/>
          <w:szCs w:val="24"/>
        </w:rPr>
        <w:tab/>
      </w:r>
      <w:r w:rsidR="004861A3" w:rsidRPr="004861A3">
        <w:rPr>
          <w:rFonts w:cs="Calibri"/>
          <w:sz w:val="24"/>
          <w:szCs w:val="24"/>
        </w:rPr>
        <w:t>Zhotovitel</w:t>
      </w:r>
      <w:r w:rsidRPr="004861A3">
        <w:rPr>
          <w:rFonts w:cs="Calibri"/>
          <w:sz w:val="24"/>
          <w:szCs w:val="24"/>
        </w:rPr>
        <w:t xml:space="preserve"> musí garantovat výpočetní výstupy v souladu s platnou leg</w:t>
      </w:r>
      <w:r w:rsidR="004A1360" w:rsidRPr="004861A3">
        <w:rPr>
          <w:rFonts w:cs="Calibri"/>
          <w:sz w:val="24"/>
          <w:szCs w:val="24"/>
        </w:rPr>
        <w:t xml:space="preserve">islativou ve smyslu </w:t>
      </w:r>
      <w:r w:rsidR="004861A3" w:rsidRPr="004861A3">
        <w:rPr>
          <w:rFonts w:cs="Calibri"/>
          <w:sz w:val="24"/>
          <w:szCs w:val="24"/>
        </w:rPr>
        <w:t>§ 31 odst. 1 a 32a zákona č. 258/2000 Sb., o ochraně veřejného zdraví a o změně některých souvisejících zákonů, v platném znění a Nařízení vlády č. 272/2011 Sb., o ochraně zdraví před nepříznivými účinky hluku a vibrací, v platném znění</w:t>
      </w:r>
      <w:r>
        <w:rPr>
          <w:rFonts w:cs="Calibri"/>
          <w:sz w:val="24"/>
          <w:szCs w:val="24"/>
        </w:rPr>
        <w:t>.</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d)</w:t>
      </w:r>
      <w:r>
        <w:rPr>
          <w:rFonts w:cs="Calibri"/>
          <w:sz w:val="24"/>
          <w:szCs w:val="24"/>
        </w:rPr>
        <w:tab/>
        <w:t>Zařazení zasažených objekt</w:t>
      </w:r>
      <w:r w:rsidR="004A1360">
        <w:rPr>
          <w:rFonts w:cs="Calibri"/>
          <w:sz w:val="24"/>
          <w:szCs w:val="24"/>
        </w:rPr>
        <w:t>ů d</w:t>
      </w:r>
      <w:r>
        <w:rPr>
          <w:rFonts w:cs="Calibri"/>
          <w:sz w:val="24"/>
          <w:szCs w:val="24"/>
        </w:rPr>
        <w:t>o hlukových pásem.</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e)</w:t>
      </w:r>
      <w:r>
        <w:rPr>
          <w:rFonts w:cs="Calibri"/>
          <w:sz w:val="24"/>
          <w:szCs w:val="24"/>
        </w:rPr>
        <w:tab/>
        <w:t>Upřesnění počtu exponovaných obyvatel v pásmech.</w:t>
      </w:r>
    </w:p>
    <w:p w:rsidR="00A46E02" w:rsidRDefault="00A46E02" w:rsidP="00A46E02">
      <w:pPr>
        <w:pStyle w:val="Odstavecseseznamem"/>
        <w:tabs>
          <w:tab w:val="left" w:pos="567"/>
        </w:tabs>
        <w:spacing w:before="120" w:after="120" w:line="240" w:lineRule="auto"/>
        <w:ind w:left="1843" w:hanging="556"/>
        <w:jc w:val="both"/>
        <w:rPr>
          <w:rFonts w:cs="Calibri"/>
          <w:b/>
          <w:sz w:val="24"/>
          <w:szCs w:val="24"/>
        </w:rPr>
      </w:pPr>
      <w:r>
        <w:rPr>
          <w:rFonts w:cs="Calibri"/>
          <w:sz w:val="24"/>
          <w:szCs w:val="24"/>
        </w:rPr>
        <w:t>f)</w:t>
      </w:r>
      <w:r>
        <w:rPr>
          <w:rFonts w:cs="Calibri"/>
          <w:sz w:val="24"/>
          <w:szCs w:val="24"/>
        </w:rPr>
        <w:tab/>
        <w:t>Zhodnocení, proč v daném případě nelze hygienické limity dodržet a o kolik je překračován.</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Pr>
          <w:rFonts w:cs="Calibri"/>
          <w:sz w:val="24"/>
          <w:szCs w:val="24"/>
        </w:rPr>
        <w:t>g)</w:t>
      </w:r>
      <w:r>
        <w:rPr>
          <w:rFonts w:cs="Calibri"/>
          <w:sz w:val="24"/>
          <w:szCs w:val="24"/>
        </w:rPr>
        <w:tab/>
        <w:t>Specifikaci možných opatření proti nadlimitnímu hluku s vyhodnocením jejich účinnosti (snížení hluku).</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h)</w:t>
      </w:r>
      <w:r>
        <w:rPr>
          <w:rFonts w:cs="Calibri"/>
          <w:sz w:val="24"/>
          <w:szCs w:val="24"/>
        </w:rPr>
        <w:tab/>
        <w:t>Harmonogram postupných kroků další projektové přípravy a realizace.</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Pr>
          <w:rFonts w:cs="Calibri"/>
          <w:sz w:val="24"/>
          <w:szCs w:val="24"/>
        </w:rPr>
        <w:t>ch)</w:t>
      </w:r>
      <w:r>
        <w:rPr>
          <w:rFonts w:cs="Calibri"/>
          <w:sz w:val="24"/>
          <w:szCs w:val="24"/>
        </w:rPr>
        <w:tab/>
        <w:t>Přizvat k účasti při měření zástupce Krajské hygienické stanice Kraje Vysočina (KHS) a zadavatele.</w:t>
      </w:r>
    </w:p>
    <w:p w:rsidR="00A46E02" w:rsidRPr="00A46E02" w:rsidRDefault="00A46E02" w:rsidP="00A46E02">
      <w:pPr>
        <w:pStyle w:val="Odstavecseseznamem"/>
        <w:tabs>
          <w:tab w:val="left" w:pos="567"/>
          <w:tab w:val="left" w:pos="1701"/>
          <w:tab w:val="left" w:pos="1843"/>
        </w:tabs>
        <w:spacing w:before="120" w:after="120" w:line="240" w:lineRule="auto"/>
        <w:ind w:left="1287"/>
        <w:jc w:val="both"/>
        <w:rPr>
          <w:rFonts w:cs="Calibri"/>
          <w:b/>
          <w:sz w:val="24"/>
          <w:szCs w:val="24"/>
        </w:rPr>
      </w:pPr>
      <w:r>
        <w:rPr>
          <w:rFonts w:cs="Calibri"/>
          <w:sz w:val="24"/>
          <w:szCs w:val="24"/>
        </w:rPr>
        <w:t>i)</w:t>
      </w:r>
      <w:r>
        <w:rPr>
          <w:rFonts w:cs="Calibri"/>
          <w:sz w:val="24"/>
          <w:szCs w:val="24"/>
        </w:rPr>
        <w:tab/>
      </w:r>
      <w:r>
        <w:rPr>
          <w:rFonts w:cs="Calibri"/>
          <w:sz w:val="24"/>
          <w:szCs w:val="24"/>
        </w:rPr>
        <w:tab/>
        <w:t>Odsouhlasení konceptu před zadáním.</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lastRenderedPageBreak/>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p>
    <w:p w:rsidR="00221E21" w:rsidRPr="009063CA" w:rsidRDefault="00221E21" w:rsidP="00C0110F">
      <w:pPr>
        <w:numPr>
          <w:ilvl w:val="0"/>
          <w:numId w:val="9"/>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412FC8" w:rsidRDefault="00412FC8" w:rsidP="00412FC8">
      <w:pPr>
        <w:numPr>
          <w:ilvl w:val="1"/>
          <w:numId w:val="0"/>
        </w:numPr>
        <w:tabs>
          <w:tab w:val="num" w:pos="576"/>
        </w:tabs>
        <w:spacing w:before="120" w:after="120"/>
        <w:ind w:left="567"/>
        <w:outlineLvl w:val="1"/>
        <w:rPr>
          <w:rFonts w:asciiTheme="minorHAnsi" w:hAnsiTheme="minorHAnsi" w:cstheme="minorHAnsi"/>
          <w:bCs/>
          <w:iCs/>
          <w:sz w:val="24"/>
          <w:szCs w:val="24"/>
        </w:rPr>
      </w:pPr>
      <w:r>
        <w:rPr>
          <w:rFonts w:asciiTheme="minorHAnsi" w:hAnsiTheme="minorHAnsi" w:cstheme="minorHAnsi"/>
          <w:bCs/>
          <w:iCs/>
          <w:sz w:val="24"/>
          <w:szCs w:val="24"/>
        </w:rPr>
        <w:t>Zahájení plnění:</w:t>
      </w:r>
      <w:r>
        <w:rPr>
          <w:rFonts w:asciiTheme="minorHAnsi" w:hAnsiTheme="minorHAnsi" w:cstheme="minorHAnsi"/>
          <w:bCs/>
          <w:iCs/>
          <w:sz w:val="24"/>
          <w:szCs w:val="24"/>
        </w:rPr>
        <w:tab/>
      </w:r>
      <w:r>
        <w:rPr>
          <w:rFonts w:asciiTheme="minorHAnsi" w:hAnsiTheme="minorHAnsi" w:cstheme="minorHAnsi"/>
          <w:bCs/>
          <w:iCs/>
          <w:sz w:val="24"/>
          <w:szCs w:val="24"/>
        </w:rPr>
        <w:tab/>
      </w:r>
      <w:r w:rsidRPr="004861A3">
        <w:rPr>
          <w:rFonts w:asciiTheme="minorHAnsi" w:hAnsiTheme="minorHAnsi" w:cstheme="minorHAnsi"/>
          <w:b/>
          <w:bCs/>
          <w:iCs/>
          <w:sz w:val="24"/>
          <w:szCs w:val="24"/>
        </w:rPr>
        <w:t>1. září 2020</w:t>
      </w:r>
    </w:p>
    <w:p w:rsidR="00412FC8" w:rsidRDefault="00412FC8" w:rsidP="00412FC8">
      <w:pPr>
        <w:numPr>
          <w:ilvl w:val="1"/>
          <w:numId w:val="0"/>
        </w:numPr>
        <w:tabs>
          <w:tab w:val="num" w:pos="576"/>
        </w:tabs>
        <w:spacing w:before="120" w:after="120"/>
        <w:ind w:left="567"/>
        <w:outlineLvl w:val="1"/>
        <w:rPr>
          <w:rFonts w:asciiTheme="minorHAnsi" w:hAnsiTheme="minorHAnsi" w:cstheme="minorHAnsi"/>
          <w:bCs/>
          <w:iCs/>
          <w:sz w:val="24"/>
          <w:szCs w:val="24"/>
        </w:rPr>
      </w:pPr>
      <w:r>
        <w:rPr>
          <w:rFonts w:asciiTheme="minorHAnsi" w:hAnsiTheme="minorHAnsi" w:cstheme="minorHAnsi"/>
          <w:bCs/>
          <w:iCs/>
          <w:sz w:val="24"/>
          <w:szCs w:val="24"/>
        </w:rPr>
        <w:t>Ukončení plnění:</w:t>
      </w:r>
      <w:r>
        <w:rPr>
          <w:rFonts w:asciiTheme="minorHAnsi" w:hAnsiTheme="minorHAnsi" w:cstheme="minorHAnsi"/>
          <w:bCs/>
          <w:iCs/>
          <w:sz w:val="24"/>
          <w:szCs w:val="24"/>
        </w:rPr>
        <w:tab/>
      </w:r>
      <w:r w:rsidRPr="004861A3">
        <w:rPr>
          <w:rFonts w:asciiTheme="minorHAnsi" w:hAnsiTheme="minorHAnsi" w:cstheme="minorHAnsi"/>
          <w:b/>
          <w:bCs/>
          <w:iCs/>
          <w:sz w:val="24"/>
          <w:szCs w:val="24"/>
        </w:rPr>
        <w:t>15. října 2020</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A2B39" w:rsidRPr="009063CA" w:rsidRDefault="008A2B39" w:rsidP="00C0110F">
      <w:pPr>
        <w:numPr>
          <w:ilvl w:val="0"/>
          <w:numId w:val="9"/>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C0110F">
      <w:pPr>
        <w:numPr>
          <w:ilvl w:val="0"/>
          <w:numId w:val="10"/>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C0110F">
      <w:pPr>
        <w:numPr>
          <w:ilvl w:val="0"/>
          <w:numId w:val="10"/>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C0110F">
      <w:pPr>
        <w:numPr>
          <w:ilvl w:val="0"/>
          <w:numId w:val="5"/>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C0110F">
      <w:pPr>
        <w:numPr>
          <w:ilvl w:val="0"/>
          <w:numId w:val="5"/>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w:t>
      </w:r>
      <w:r w:rsidR="00970D40">
        <w:rPr>
          <w:rFonts w:asciiTheme="minorHAnsi" w:hAnsiTheme="minorHAnsi" w:cstheme="minorHAnsi"/>
          <w:sz w:val="24"/>
          <w:szCs w:val="24"/>
        </w:rPr>
        <w:t>úseky</w:t>
      </w:r>
      <w:r w:rsidRPr="009063CA">
        <w:rPr>
          <w:rFonts w:asciiTheme="minorHAnsi" w:hAnsiTheme="minorHAnsi" w:cstheme="minorHAnsi"/>
          <w:sz w:val="24"/>
          <w:szCs w:val="24"/>
        </w:rPr>
        <w:t xml:space="preserve"> podle </w:t>
      </w:r>
      <w:r w:rsidRPr="009063CA">
        <w:rPr>
          <w:rFonts w:asciiTheme="minorHAnsi" w:hAnsiTheme="minorHAnsi" w:cstheme="minorHAnsi"/>
          <w:b/>
          <w:sz w:val="24"/>
          <w:szCs w:val="24"/>
        </w:rPr>
        <w:t xml:space="preserve">přílohy </w:t>
      </w:r>
      <w:r w:rsidR="0015328B">
        <w:rPr>
          <w:rFonts w:asciiTheme="minorHAnsi" w:hAnsiTheme="minorHAnsi" w:cstheme="minorHAnsi"/>
          <w:b/>
          <w:sz w:val="24"/>
          <w:szCs w:val="24"/>
        </w:rPr>
        <w:t>A1</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C0110F">
      <w:pPr>
        <w:numPr>
          <w:ilvl w:val="0"/>
          <w:numId w:val="5"/>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C0110F">
      <w:pPr>
        <w:numPr>
          <w:ilvl w:val="0"/>
          <w:numId w:val="5"/>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C0110F">
      <w:pPr>
        <w:numPr>
          <w:ilvl w:val="1"/>
          <w:numId w:val="11"/>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 xml:space="preserve">podléhají </w:t>
      </w:r>
      <w:r w:rsidRPr="009063CA">
        <w:rPr>
          <w:rFonts w:asciiTheme="minorHAnsi" w:hAnsiTheme="minorHAnsi" w:cstheme="minorHAnsi"/>
          <w:sz w:val="24"/>
          <w:szCs w:val="24"/>
        </w:rPr>
        <w:lastRenderedPageBreak/>
        <w:t>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C0110F">
      <w:pPr>
        <w:numPr>
          <w:ilvl w:val="1"/>
          <w:numId w:val="11"/>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C0110F">
      <w:pPr>
        <w:numPr>
          <w:ilvl w:val="1"/>
          <w:numId w:val="11"/>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C0110F">
      <w:pPr>
        <w:numPr>
          <w:ilvl w:val="1"/>
          <w:numId w:val="11"/>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C0110F">
      <w:pPr>
        <w:numPr>
          <w:ilvl w:val="1"/>
          <w:numId w:val="11"/>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221E21"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Dílo bude provedeno s veškerou péčí a odborností, bude předáno kompletní a bez závad v rozsahu a v termínech stanovených touto smlouvou, a to osobně odpovědnému pracovníkovi objednatele na základě předávacího protokolu</w:t>
      </w:r>
      <w:r w:rsidR="00221E21"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Objednatel je oprávněn kontrolovat provádění díla. Zjistí-li objednatel, že dodavatel provádí dílo v rozporu se svými povinnostmi, je objednatel oprávněn dožadovat se toho, aby dodavatel odstranil vady vzniklé vadným prováděním a dílo prováděl řádným způsobem</w:t>
      </w:r>
      <w:r w:rsidR="00347BA4" w:rsidRPr="00273291">
        <w:rPr>
          <w:rFonts w:asciiTheme="minorHAnsi" w:hAnsiTheme="minorHAnsi" w:cstheme="minorHAnsi"/>
          <w:sz w:val="24"/>
          <w:szCs w:val="24"/>
        </w:rPr>
        <w:t>.</w:t>
      </w:r>
      <w:r w:rsidR="00EF1F55"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Dodavatel je povinen upozornit objednatele bez zbytečného odkladu na nevhodnou povahu věcí převzatých od objednatele nebo pokynů daných mu objednatelem k provedení díla, jestliže dodavatel mohl tuto nevhodnost zjistit při vynaložení odborné péče</w:t>
      </w:r>
      <w:r w:rsidR="00EF1F55"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Zjistí-li dodavatel při provádění díla skryté překážky, týkající se věci, na níž má být provedena oprava nebo úprava, nebo místa, kde má být dílo provedeno, a tyto překážky znemožňují provedení díla dohodnutým způsobem, je dodavatel povinen to oznámit bez zbytečného odkladu objednateli a navrhnout mu změnu díla. Do dosažení dohody o změně díla je dodavatel oprávněn provádění díla přerušit. Nedohodnou-li se strany v přiměřené lhůtě na změně smlouvy, může kterákoli ze stran od smlouvy odstoupit</w:t>
      </w:r>
      <w:r w:rsidR="00EF1F55" w:rsidRPr="00273291">
        <w:rPr>
          <w:rFonts w:asciiTheme="minorHAnsi" w:hAnsiTheme="minorHAnsi" w:cstheme="minorHAnsi"/>
          <w:sz w:val="24"/>
          <w:szCs w:val="24"/>
          <w:lang w:eastAsia="cs-CZ"/>
        </w:rPr>
        <w:t>.</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273291">
        <w:rPr>
          <w:rFonts w:asciiTheme="minorHAnsi" w:eastAsia="Times New Roman" w:hAnsiTheme="minorHAnsi" w:cstheme="minorHAnsi"/>
          <w:snapToGrid w:val="0"/>
          <w:sz w:val="24"/>
          <w:szCs w:val="24"/>
          <w:lang w:eastAsia="cs-CZ"/>
        </w:rPr>
        <w:lastRenderedPageBreak/>
        <w:t>Zhotovitel je po splnění závazku povinen v místě plnění předat dílo osobě pověřené převzetím díla s „Předávacím protokolem“ ve dvojím vyhotovení, řádně vyplněným a označeným číslem smlouvy, který podepíše osoba pověřená převzetím díla. Jedno vyhotovení zůstává objednateli, druhé vyhotovení zhotoviteli.</w:t>
      </w:r>
    </w:p>
    <w:p w:rsidR="00273291" w:rsidRPr="00273291" w:rsidRDefault="00273291" w:rsidP="00273291">
      <w:pPr>
        <w:numPr>
          <w:ilvl w:val="0"/>
          <w:numId w:val="7"/>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Dílo bude předáno objednateli v tištěné podobě ve 2 paré a 1 v elektronické podobě na datovém nosiči</w:t>
      </w:r>
      <w:r w:rsidRPr="00273291">
        <w:rPr>
          <w:rFonts w:asciiTheme="minorHAnsi" w:hAnsiTheme="minorHAnsi" w:cstheme="minorHAnsi"/>
          <w:snapToGrid w:val="0"/>
          <w:sz w:val="24"/>
          <w:szCs w:val="24"/>
        </w:rPr>
        <w:t>.</w:t>
      </w:r>
      <w:r w:rsidRPr="00273291">
        <w:rPr>
          <w:rFonts w:asciiTheme="minorHAnsi" w:eastAsia="Times New Roman" w:hAnsiTheme="minorHAnsi" w:cstheme="minorHAnsi"/>
          <w:sz w:val="24"/>
          <w:szCs w:val="24"/>
          <w:lang w:eastAsia="cs-CZ"/>
        </w:rPr>
        <w:t xml:space="preserve"> </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sz w:val="24"/>
          <w:szCs w:val="24"/>
          <w:lang w:eastAsia="cs-CZ"/>
        </w:rPr>
        <w:t>Osoby oprávněné k předání a převzetí díla (oprávněné jednat ve věcech plnění) jsou uvedeny v </w:t>
      </w:r>
      <w:r w:rsidRPr="00273291">
        <w:rPr>
          <w:rFonts w:asciiTheme="minorHAnsi" w:eastAsia="Times New Roman" w:hAnsiTheme="minorHAnsi" w:cstheme="minorHAnsi"/>
          <w:b/>
          <w:sz w:val="24"/>
          <w:szCs w:val="24"/>
          <w:lang w:eastAsia="cs-CZ"/>
        </w:rPr>
        <w:t>příloze A</w:t>
      </w:r>
      <w:r w:rsidR="00273291">
        <w:rPr>
          <w:rFonts w:asciiTheme="minorHAnsi" w:eastAsia="Times New Roman" w:hAnsiTheme="minorHAnsi" w:cstheme="minorHAnsi"/>
          <w:b/>
          <w:sz w:val="24"/>
          <w:szCs w:val="24"/>
          <w:lang w:eastAsia="cs-CZ"/>
        </w:rPr>
        <w:t>2</w:t>
      </w:r>
      <w:r w:rsidRPr="00273291">
        <w:rPr>
          <w:rFonts w:asciiTheme="minorHAnsi" w:eastAsia="Times New Roman" w:hAnsiTheme="minorHAnsi" w:cstheme="minorHAnsi"/>
          <w:b/>
          <w:sz w:val="24"/>
          <w:szCs w:val="24"/>
          <w:lang w:eastAsia="cs-CZ"/>
        </w:rPr>
        <w:t>.</w:t>
      </w:r>
      <w:r w:rsidRPr="00273291">
        <w:rPr>
          <w:rFonts w:asciiTheme="minorHAnsi" w:eastAsia="Times New Roman" w:hAnsiTheme="minorHAnsi" w:cstheme="minorHAnsi"/>
          <w:sz w:val="24"/>
          <w:szCs w:val="24"/>
          <w:lang w:eastAsia="cs-CZ"/>
        </w:rPr>
        <w:t xml:space="preserve"> </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sz w:val="24"/>
          <w:szCs w:val="24"/>
          <w:lang w:eastAsia="cs-CZ"/>
        </w:rPr>
        <w:t xml:space="preserve">Smluvní strany se vzájemně dohodly, že změna uvedených osob oprávněných jednat ve věcech plnění bude oznamována jednostranným písemným sdělením a není potřeba na jejich změnu uzavřít dodatek ke smlouvě. Tyto osoby jsou oprávněny za sebe určit zástupce. </w:t>
      </w:r>
    </w:p>
    <w:p w:rsidR="000F3C3F" w:rsidRPr="00273291" w:rsidRDefault="00412FC8" w:rsidP="00C0110F">
      <w:pPr>
        <w:numPr>
          <w:ilvl w:val="0"/>
          <w:numId w:val="7"/>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b/>
          <w:sz w:val="24"/>
          <w:szCs w:val="24"/>
          <w:lang w:eastAsia="cs-CZ"/>
        </w:rPr>
        <w:t>Místem předání díla je</w:t>
      </w:r>
      <w:r w:rsidRPr="00273291">
        <w:rPr>
          <w:rFonts w:asciiTheme="minorHAnsi" w:eastAsia="Times New Roman" w:hAnsiTheme="minorHAnsi" w:cstheme="minorHAnsi"/>
          <w:sz w:val="24"/>
          <w:szCs w:val="24"/>
          <w:lang w:eastAsia="cs-CZ"/>
        </w:rPr>
        <w:t>: Krajská správa a údržba silnic Vysočiny, příspěvková organizace, pracoviště Žďár nad Sázavou, Jihlavská 841/1, 591 01 Žďár nad Sázavou</w:t>
      </w:r>
      <w:r w:rsidR="000F3C3F" w:rsidRPr="00273291">
        <w:rPr>
          <w:rFonts w:asciiTheme="minorHAnsi" w:eastAsia="Times New Roman" w:hAnsiTheme="minorHAnsi" w:cstheme="minorHAnsi"/>
          <w:sz w:val="24"/>
          <w:szCs w:val="24"/>
          <w:lang w:eastAsia="cs-CZ"/>
        </w:rPr>
        <w:t xml:space="preserve">. </w:t>
      </w:r>
    </w:p>
    <w:p w:rsidR="00953E23" w:rsidRPr="009063CA" w:rsidRDefault="00953E23" w:rsidP="00953E23">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0F3C3F" w:rsidRPr="009063CA"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w:t>
      </w:r>
      <w:r w:rsidRPr="009063CA">
        <w:rPr>
          <w:rFonts w:asciiTheme="minorHAnsi" w:eastAsia="Times New Roman" w:hAnsiTheme="minorHAnsi" w:cstheme="minorHAnsi"/>
          <w:snapToGrid w:val="0"/>
          <w:sz w:val="24"/>
          <w:szCs w:val="24"/>
          <w:lang w:eastAsia="cs-CZ"/>
        </w:rPr>
        <w:lastRenderedPageBreak/>
        <w:t>zdanitelné plnění přímo příslušnému správci daně. Objednatelem takto provedená úhrada je považována za uhrazení příslušné části smluvní ceny rovnající se výši DPH fakturované zhotovitelem.</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 xml:space="preserve">Článek </w:t>
      </w:r>
      <w:r w:rsidR="00974CCA">
        <w:rPr>
          <w:rFonts w:asciiTheme="minorHAnsi" w:hAnsiTheme="minorHAnsi" w:cstheme="minorHAnsi"/>
          <w:b/>
          <w:bCs/>
          <w:iCs/>
          <w:sz w:val="24"/>
          <w:szCs w:val="24"/>
        </w:rPr>
        <w:t>7</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273291">
        <w:rPr>
          <w:rFonts w:asciiTheme="minorHAnsi" w:hAnsiTheme="minorHAnsi" w:cstheme="minorHAnsi"/>
          <w:b/>
          <w:sz w:val="24"/>
          <w:szCs w:val="24"/>
        </w:rPr>
        <w:t>díla</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w:t>
      </w:r>
      <w:r w:rsidR="00221E21" w:rsidRPr="00273291">
        <w:rPr>
          <w:rFonts w:asciiTheme="minorHAnsi" w:hAnsiTheme="minorHAnsi" w:cstheme="minorHAnsi"/>
          <w:b/>
          <w:sz w:val="24"/>
          <w:szCs w:val="24"/>
        </w:rPr>
        <w:t xml:space="preserve">prodlení s termínem odstranění vad </w:t>
      </w:r>
      <w:r w:rsidR="00221E21" w:rsidRPr="009063CA">
        <w:rPr>
          <w:rFonts w:asciiTheme="minorHAnsi" w:hAnsiTheme="minorHAnsi" w:cstheme="minorHAnsi"/>
          <w:sz w:val="24"/>
          <w:szCs w:val="24"/>
        </w:rPr>
        <w:t xml:space="preserve">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w:t>
      </w:r>
      <w:r w:rsidRPr="00273291">
        <w:rPr>
          <w:rFonts w:asciiTheme="minorHAnsi" w:hAnsiTheme="minorHAnsi" w:cstheme="minorHAnsi"/>
          <w:b/>
          <w:sz w:val="24"/>
          <w:szCs w:val="24"/>
        </w:rPr>
        <w:t>prodlení se zaplacením faktury</w:t>
      </w:r>
      <w:r w:rsidRPr="009063CA">
        <w:rPr>
          <w:rFonts w:asciiTheme="minorHAnsi" w:hAnsiTheme="minorHAnsi" w:cstheme="minorHAnsi"/>
          <w:sz w:val="24"/>
          <w:szCs w:val="24"/>
        </w:rPr>
        <w:t>.</w:t>
      </w:r>
      <w:r w:rsidR="000F3C3F" w:rsidRPr="009063CA">
        <w:rPr>
          <w:rFonts w:asciiTheme="minorHAnsi" w:hAnsiTheme="minorHAnsi" w:cstheme="minorHAnsi"/>
          <w:sz w:val="24"/>
          <w:szCs w:val="24"/>
        </w:rPr>
        <w:t xml:space="preserve"> </w:t>
      </w:r>
    </w:p>
    <w:p w:rsidR="006B21B1" w:rsidRPr="009063CA"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974CCA">
        <w:rPr>
          <w:rFonts w:asciiTheme="minorHAnsi" w:hAnsiTheme="minorHAnsi" w:cstheme="minorHAnsi"/>
          <w:b/>
          <w:bCs/>
          <w:iCs/>
          <w:sz w:val="24"/>
          <w:szCs w:val="24"/>
        </w:rPr>
        <w:t>8</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C0110F">
      <w:pPr>
        <w:keepNext/>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xml:space="preserve">§ 2 </w:t>
      </w:r>
      <w:r w:rsidR="00985294">
        <w:rPr>
          <w:rFonts w:asciiTheme="minorHAnsi" w:hAnsiTheme="minorHAnsi" w:cstheme="minorHAnsi"/>
          <w:b/>
          <w:sz w:val="24"/>
          <w:szCs w:val="24"/>
        </w:rPr>
        <w:t>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w:t>
      </w:r>
      <w:r w:rsidRPr="00273291">
        <w:rPr>
          <w:rFonts w:asciiTheme="minorHAnsi" w:hAnsiTheme="minorHAnsi" w:cstheme="minorHAnsi"/>
          <w:b/>
          <w:sz w:val="24"/>
          <w:szCs w:val="24"/>
        </w:rPr>
        <w:t>Sb., o finanční kontrole ve veřejné správě v platném znění</w:t>
      </w:r>
      <w:r w:rsidRPr="009063CA">
        <w:rPr>
          <w:rFonts w:asciiTheme="minorHAnsi" w:hAnsiTheme="minorHAnsi" w:cstheme="minorHAnsi"/>
          <w:sz w:val="24"/>
          <w:szCs w:val="24"/>
        </w:rPr>
        <w:t>.</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lastRenderedPageBreak/>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B72D2D" w:rsidRPr="009063CA"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lastRenderedPageBreak/>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974CCA">
        <w:rPr>
          <w:rFonts w:asciiTheme="minorHAnsi" w:hAnsiTheme="minorHAnsi" w:cstheme="minorHAnsi"/>
          <w:b/>
          <w:sz w:val="24"/>
          <w:szCs w:val="24"/>
          <w:lang w:eastAsia="ar-SA"/>
        </w:rPr>
        <w:t>9</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 xml:space="preserve">Zhotovitel souhlasí se zveřejněním </w:t>
      </w:r>
      <w:r>
        <w:rPr>
          <w:rFonts w:eastAsia="Times New Roman" w:cs="Calibri"/>
          <w:sz w:val="24"/>
          <w:szCs w:val="24"/>
          <w:lang w:eastAsia="cs-CZ"/>
        </w:rPr>
        <w:t>s</w:t>
      </w:r>
      <w:r w:rsidRPr="00CD1BC8">
        <w:rPr>
          <w:rFonts w:eastAsia="Times New Roman" w:cs="Calibri"/>
          <w:sz w:val="24"/>
          <w:szCs w:val="24"/>
          <w:lang w:eastAsia="cs-CZ"/>
        </w:rPr>
        <w:t xml:space="preserve">mlouvy v souladu s povinnostmi objednatele za podmínek vyplývajících z příslušných právních předpisů, zejména souhlasí se zveřejněním </w:t>
      </w:r>
      <w:r>
        <w:rPr>
          <w:rFonts w:eastAsia="Times New Roman" w:cs="Calibri"/>
          <w:sz w:val="24"/>
          <w:szCs w:val="24"/>
          <w:lang w:eastAsia="cs-CZ"/>
        </w:rPr>
        <w:t>s</w:t>
      </w:r>
      <w:r w:rsidRPr="00CD1BC8">
        <w:rPr>
          <w:rFonts w:eastAsia="Times New Roman" w:cs="Calibri"/>
          <w:sz w:val="24"/>
          <w:szCs w:val="24"/>
          <w:lang w:eastAsia="cs-CZ"/>
        </w:rPr>
        <w:t xml:space="preserve">mlouvy včetně všech jejich změn a dodatků, výše skutečně uhrazené ceny na základě </w:t>
      </w:r>
      <w:r>
        <w:rPr>
          <w:rFonts w:eastAsia="Times New Roman" w:cs="Calibri"/>
          <w:sz w:val="24"/>
          <w:szCs w:val="24"/>
          <w:lang w:eastAsia="cs-CZ"/>
        </w:rPr>
        <w:t>s</w:t>
      </w:r>
      <w:r w:rsidRPr="00CD1BC8">
        <w:rPr>
          <w:rFonts w:eastAsia="Times New Roman" w:cs="Calibri"/>
          <w:sz w:val="24"/>
          <w:szCs w:val="24"/>
          <w:lang w:eastAsia="cs-CZ"/>
        </w:rPr>
        <w:t xml:space="preserve">mlouvy a dalších údajů na profilu zadavatele dle </w:t>
      </w:r>
      <w:r w:rsidRPr="00AA6677">
        <w:rPr>
          <w:rFonts w:eastAsia="Times New Roman" w:cs="Calibri"/>
          <w:b/>
          <w:sz w:val="24"/>
          <w:szCs w:val="24"/>
          <w:lang w:eastAsia="cs-CZ"/>
        </w:rPr>
        <w:t>§ 219 ZZVZ a v registru smluv dle zákona č. 340/2015 Sb., o zvláštních podmínkách účinnosti některých smluv, uveřejňování těchto smluv a o registru smluv (zákon o registru smluv), v platném a účinném znění</w:t>
      </w:r>
      <w:r w:rsidRPr="00CD1BC8">
        <w:rPr>
          <w:rFonts w:eastAsia="Times New Roman" w:cs="Calibri"/>
          <w:sz w:val="24"/>
          <w:szCs w:val="24"/>
          <w:lang w:eastAsia="cs-CZ"/>
        </w:rPr>
        <w:t xml:space="preserve">. Smlouvu bude dle vůle </w:t>
      </w:r>
      <w:r>
        <w:rPr>
          <w:rFonts w:eastAsia="Times New Roman" w:cs="Calibri"/>
          <w:sz w:val="24"/>
          <w:szCs w:val="24"/>
          <w:lang w:eastAsia="cs-CZ"/>
        </w:rPr>
        <w:t>s</w:t>
      </w:r>
      <w:r w:rsidRPr="00CD1BC8">
        <w:rPr>
          <w:rFonts w:eastAsia="Times New Roman" w:cs="Calibri"/>
          <w:sz w:val="24"/>
          <w:szCs w:val="24"/>
          <w:lang w:eastAsia="cs-CZ"/>
        </w:rPr>
        <w:t xml:space="preserve">mluvních stran na profilu zadavatele a v registru smluv v souladu s příslušnými právními předpisy, zejména ve lhůtách stanovených příslušnými právními předpisy, zveřejňovat </w:t>
      </w:r>
      <w:r>
        <w:rPr>
          <w:rFonts w:eastAsia="Times New Roman" w:cs="Calibri"/>
          <w:sz w:val="24"/>
          <w:szCs w:val="24"/>
          <w:lang w:eastAsia="cs-CZ"/>
        </w:rPr>
        <w:t>o</w:t>
      </w:r>
      <w:r w:rsidRPr="00CD1BC8">
        <w:rPr>
          <w:rFonts w:eastAsia="Times New Roman" w:cs="Calibri"/>
          <w:sz w:val="24"/>
          <w:szCs w:val="24"/>
          <w:lang w:eastAsia="cs-CZ"/>
        </w:rPr>
        <w:t>bjednatel.</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Tato </w:t>
      </w:r>
      <w:r>
        <w:rPr>
          <w:rFonts w:eastAsia="Times New Roman" w:cs="Calibri"/>
          <w:sz w:val="24"/>
          <w:szCs w:val="24"/>
          <w:lang w:eastAsia="cs-CZ"/>
        </w:rPr>
        <w:t>s</w:t>
      </w:r>
      <w:r w:rsidRPr="003020F6">
        <w:rPr>
          <w:rFonts w:eastAsia="Times New Roman" w:cs="Calibri"/>
          <w:sz w:val="24"/>
          <w:szCs w:val="24"/>
          <w:lang w:eastAsia="cs-CZ"/>
        </w:rPr>
        <w:t>mlouva o dílo je vyhotovena v elektronické podobě, přičemž obě smluvní strany obdrží její elektronický originál.</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Smlouva je platná dnem připojení platného uznávaného elektronického podpisu dle </w:t>
      </w:r>
      <w:r w:rsidRPr="00AA6677">
        <w:rPr>
          <w:rFonts w:eastAsia="Times New Roman" w:cs="Calibri"/>
          <w:b/>
          <w:sz w:val="24"/>
          <w:szCs w:val="24"/>
          <w:lang w:eastAsia="cs-CZ"/>
        </w:rPr>
        <w:t>zákona č. 297/2016 Sb., o službách vytvářejících důvěru pro elektronické transakce, ve znění pozdějších předpisů</w:t>
      </w:r>
      <w:r w:rsidRPr="003020F6">
        <w:rPr>
          <w:rFonts w:eastAsia="Times New Roman" w:cs="Calibri"/>
          <w:sz w:val="24"/>
          <w:szCs w:val="24"/>
          <w:lang w:eastAsia="cs-CZ"/>
        </w:rPr>
        <w:t>, do této Smlouvy a jejích jednotlivých příloh, nejsou-li součástí jediného elektronického dokumentu (tj. do všech samostatných souborů tvořících v souhrnu Smlouvu, a to oběma smluvními stranami).</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Smlouva je účinná dnem jejího uveřejnění v registru smluv. </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Smluvní strany se dohodly, že případné spory vzniklé ze závazků sjednaných touto smlouvou budou přednostně řešit smírnou cestou.</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lastRenderedPageBreak/>
        <w:t>Zhotovitel není oprávněn postoupit pohledávku plynoucí z této smlouvy třetí osobě bez předchozího písemného souhlasu objednatele. V případě porušení této povinnosti se považuje takovéto postoupení pohledávky od počátku za neplatné.</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 xml:space="preserve">Změny a doplňky této smlouvy lze provádět pouze písemnými oboustranně dohodnutými dodatky, které se stanou nedílnou součástí této smlouvy. Dodatek ke smlouvě musí být uzavřen v souladu s </w:t>
      </w:r>
      <w:r w:rsidRPr="00AA6677">
        <w:rPr>
          <w:rFonts w:eastAsia="Times New Roman" w:cs="Calibri"/>
          <w:b/>
          <w:sz w:val="24"/>
          <w:szCs w:val="24"/>
          <w:lang w:eastAsia="cs-CZ"/>
        </w:rPr>
        <w:t>§ 222 ZZVZ</w:t>
      </w:r>
      <w:r w:rsidRPr="00CD1BC8">
        <w:rPr>
          <w:rFonts w:eastAsia="Times New Roman" w:cs="Calibri"/>
          <w:sz w:val="24"/>
          <w:szCs w:val="24"/>
          <w:lang w:eastAsia="cs-CZ"/>
        </w:rPr>
        <w:t>.</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AA6677">
        <w:rPr>
          <w:rFonts w:eastAsia="Times New Roman" w:cs="Calibri"/>
          <w:sz w:val="24"/>
          <w:szCs w:val="24"/>
          <w:lang w:eastAsia="cs-CZ"/>
        </w:rPr>
        <w:t xml:space="preserve">Plnění této smlouvy se řídí </w:t>
      </w:r>
      <w:r w:rsidRPr="00AA6677">
        <w:rPr>
          <w:rFonts w:eastAsia="Times New Roman" w:cs="Calibri"/>
          <w:b/>
          <w:sz w:val="24"/>
          <w:szCs w:val="24"/>
          <w:lang w:eastAsia="cs-CZ"/>
        </w:rPr>
        <w:t>zákonem č. 89/2012 Sb., občanský zákoník, v platném znění</w:t>
      </w:r>
      <w:r w:rsidRPr="00CD1BC8">
        <w:rPr>
          <w:rFonts w:eastAsia="Times New Roman" w:cs="Calibri"/>
          <w:sz w:val="24"/>
          <w:szCs w:val="24"/>
          <w:lang w:eastAsia="cs-CZ"/>
        </w:rPr>
        <w:t>.</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2E4A70" w:rsidRPr="00CD1BC8" w:rsidRDefault="002E4A70" w:rsidP="002E4A70">
      <w:pPr>
        <w:tabs>
          <w:tab w:val="left" w:pos="284"/>
        </w:tabs>
        <w:spacing w:after="120" w:line="240" w:lineRule="auto"/>
        <w:ind w:right="-34"/>
        <w:jc w:val="both"/>
        <w:rPr>
          <w:rFonts w:eastAsia="Times New Roman" w:cs="Calibri"/>
          <w:sz w:val="24"/>
          <w:szCs w:val="24"/>
          <w:lang w:eastAsia="ar-SA"/>
        </w:rPr>
      </w:pPr>
    </w:p>
    <w:p w:rsidR="002E4A70" w:rsidRPr="003020F6" w:rsidRDefault="002E4A70" w:rsidP="002E4A70">
      <w:pPr>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r w:rsidRPr="003020F6">
        <w:rPr>
          <w:rFonts w:eastAsia="Times New Roman" w:cs="Calibri"/>
          <w:sz w:val="24"/>
          <w:szCs w:val="24"/>
          <w:lang w:eastAsia="ar-SA"/>
        </w:rPr>
        <w:t>Nedílnou součástí smlouvy jsou následující přílohy:</w:t>
      </w:r>
    </w:p>
    <w:p w:rsidR="002E4A70" w:rsidRPr="002E4A70" w:rsidRDefault="002E4A70" w:rsidP="002E4A70">
      <w:pPr>
        <w:tabs>
          <w:tab w:val="left" w:pos="284"/>
        </w:tabs>
        <w:overflowPunct w:val="0"/>
        <w:autoSpaceDE w:val="0"/>
        <w:autoSpaceDN w:val="0"/>
        <w:adjustRightInd w:val="0"/>
        <w:spacing w:after="120" w:line="240" w:lineRule="auto"/>
        <w:ind w:right="-34"/>
        <w:jc w:val="both"/>
        <w:textAlignment w:val="baseline"/>
        <w:rPr>
          <w:rFonts w:asciiTheme="minorHAnsi" w:hAnsiTheme="minorHAnsi" w:cstheme="minorHAnsi"/>
          <w:sz w:val="24"/>
          <w:szCs w:val="24"/>
        </w:rPr>
      </w:pPr>
      <w:r w:rsidRPr="002E4A70">
        <w:rPr>
          <w:rFonts w:asciiTheme="minorHAnsi" w:hAnsiTheme="minorHAnsi" w:cstheme="minorHAnsi"/>
          <w:sz w:val="24"/>
          <w:szCs w:val="24"/>
        </w:rPr>
        <w:t>Příloha A1 Struktura ceny plnění</w:t>
      </w:r>
    </w:p>
    <w:p w:rsidR="002E4A70" w:rsidRPr="003020F6" w:rsidRDefault="002E4A70" w:rsidP="002E4A70">
      <w:pPr>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r w:rsidRPr="002E4A70">
        <w:rPr>
          <w:rFonts w:eastAsia="Times New Roman" w:cs="Calibri"/>
          <w:sz w:val="24"/>
          <w:szCs w:val="24"/>
          <w:lang w:eastAsia="ar-SA"/>
        </w:rPr>
        <w:t xml:space="preserve">Příloha A2 </w:t>
      </w:r>
      <w:bookmarkStart w:id="0" w:name="_GoBack"/>
      <w:bookmarkEnd w:id="0"/>
      <w:r w:rsidRPr="002E4A70">
        <w:rPr>
          <w:rFonts w:eastAsia="Times New Roman" w:cs="Calibri"/>
          <w:sz w:val="24"/>
          <w:szCs w:val="24"/>
          <w:lang w:eastAsia="ar-SA"/>
        </w:rPr>
        <w:t>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2E4A70" w:rsidRDefault="002E4A70"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970D40" w:rsidRDefault="00970D40">
      <w:pPr>
        <w:spacing w:after="0" w:line="240" w:lineRule="auto"/>
        <w:rPr>
          <w:rFonts w:eastAsia="Times New Roman" w:cs="Calibri"/>
          <w:sz w:val="24"/>
          <w:szCs w:val="24"/>
          <w:lang w:eastAsia="ar-SA"/>
        </w:rPr>
      </w:pPr>
      <w:r>
        <w:rPr>
          <w:rFonts w:eastAsia="Times New Roman" w:cs="Calibri"/>
          <w:sz w:val="24"/>
          <w:szCs w:val="24"/>
          <w:lang w:eastAsia="ar-SA"/>
        </w:rPr>
        <w:br w:type="page"/>
      </w:r>
    </w:p>
    <w:p w:rsidR="00970D40" w:rsidRPr="00970D40" w:rsidRDefault="00970D40" w:rsidP="00970D40">
      <w:pPr>
        <w:suppressAutoHyphens/>
        <w:spacing w:after="0" w:line="240" w:lineRule="auto"/>
        <w:jc w:val="right"/>
        <w:rPr>
          <w:rFonts w:eastAsia="Times New Roman" w:cs="Calibri"/>
          <w:b/>
          <w:sz w:val="20"/>
          <w:szCs w:val="20"/>
          <w:lang w:eastAsia="ar-SA"/>
        </w:rPr>
      </w:pPr>
      <w:r w:rsidRPr="00970D40">
        <w:rPr>
          <w:rFonts w:eastAsia="Times New Roman" w:cs="Calibri"/>
          <w:b/>
          <w:sz w:val="20"/>
          <w:szCs w:val="20"/>
          <w:lang w:eastAsia="ar-SA"/>
        </w:rPr>
        <w:lastRenderedPageBreak/>
        <w:t>Příloha A1 SoD</w:t>
      </w:r>
    </w:p>
    <w:p w:rsidR="00970D40" w:rsidRDefault="00970D40" w:rsidP="00970D40">
      <w:pPr>
        <w:suppressAutoHyphens/>
        <w:spacing w:after="0" w:line="240" w:lineRule="auto"/>
        <w:rPr>
          <w:rFonts w:eastAsia="Times New Roman" w:cs="Calibri"/>
          <w:sz w:val="24"/>
          <w:szCs w:val="24"/>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889"/>
      </w:tblGrid>
      <w:tr w:rsidR="00970D40" w:rsidRPr="00974CCA" w:rsidTr="00985772">
        <w:tc>
          <w:tcPr>
            <w:tcW w:w="9889" w:type="dxa"/>
            <w:shd w:val="clear" w:color="auto" w:fill="FDE9D9"/>
          </w:tcPr>
          <w:p w:rsidR="00970D40" w:rsidRPr="00974CCA" w:rsidRDefault="00970D40" w:rsidP="00985772">
            <w:pPr>
              <w:numPr>
                <w:ilvl w:val="0"/>
                <w:numId w:val="1"/>
              </w:numPr>
              <w:tabs>
                <w:tab w:val="clear" w:pos="432"/>
              </w:tabs>
              <w:suppressAutoHyphens/>
              <w:spacing w:before="120" w:after="120" w:line="240" w:lineRule="auto"/>
              <w:jc w:val="center"/>
              <w:rPr>
                <w:rFonts w:eastAsia="Times New Roman" w:cs="Calibri"/>
                <w:b/>
                <w:sz w:val="24"/>
                <w:szCs w:val="24"/>
                <w:lang w:eastAsia="ar-SA"/>
              </w:rPr>
            </w:pPr>
            <w:r w:rsidRPr="00974CCA">
              <w:rPr>
                <w:rFonts w:eastAsia="Times New Roman" w:cs="Calibri"/>
                <w:b/>
                <w:sz w:val="24"/>
                <w:szCs w:val="24"/>
                <w:lang w:eastAsia="ar-SA"/>
              </w:rPr>
              <w:t>STRUKTURA CENY PLNĚNÍ</w:t>
            </w:r>
          </w:p>
        </w:tc>
      </w:tr>
    </w:tbl>
    <w:p w:rsidR="00970D40" w:rsidRPr="00974CCA" w:rsidRDefault="00970D40" w:rsidP="00970D40">
      <w:pPr>
        <w:suppressAutoHyphens/>
        <w:spacing w:after="0" w:line="240" w:lineRule="auto"/>
        <w:rPr>
          <w:rFonts w:eastAsia="Times New Roman" w:cs="Calibri"/>
          <w:b/>
          <w:bCs/>
          <w:sz w:val="24"/>
          <w:szCs w:val="24"/>
          <w:lang w:eastAsia="ar-SA"/>
        </w:rPr>
      </w:pPr>
    </w:p>
    <w:tbl>
      <w:tblPr>
        <w:tblW w:w="988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7"/>
        <w:gridCol w:w="3402"/>
      </w:tblGrid>
      <w:tr w:rsidR="00970D40" w:rsidRPr="00974CCA" w:rsidTr="002E4A70">
        <w:trPr>
          <w:trHeight w:val="686"/>
        </w:trPr>
        <w:tc>
          <w:tcPr>
            <w:tcW w:w="6487" w:type="dxa"/>
            <w:vAlign w:val="center"/>
          </w:tcPr>
          <w:p w:rsidR="00970D40" w:rsidRPr="00974CCA" w:rsidRDefault="00970D40" w:rsidP="00985772">
            <w:pPr>
              <w:suppressAutoHyphens/>
              <w:spacing w:after="0" w:line="240" w:lineRule="auto"/>
              <w:rPr>
                <w:rFonts w:eastAsia="Times New Roman" w:cs="Calibri"/>
                <w:b/>
                <w:sz w:val="24"/>
                <w:szCs w:val="24"/>
                <w:lang w:eastAsia="ar-SA"/>
              </w:rPr>
            </w:pPr>
            <w:r w:rsidRPr="00974CCA">
              <w:rPr>
                <w:rFonts w:eastAsia="Times New Roman" w:cs="Calibri"/>
                <w:b/>
                <w:sz w:val="24"/>
                <w:szCs w:val="24"/>
                <w:lang w:eastAsia="ar-SA"/>
              </w:rPr>
              <w:t>Měřený úsek</w:t>
            </w:r>
          </w:p>
        </w:tc>
        <w:tc>
          <w:tcPr>
            <w:tcW w:w="3402" w:type="dxa"/>
            <w:vAlign w:val="center"/>
          </w:tcPr>
          <w:p w:rsidR="00970D40" w:rsidRPr="00974CCA" w:rsidRDefault="00970D40" w:rsidP="00985772">
            <w:pPr>
              <w:suppressAutoHyphens/>
              <w:spacing w:after="0" w:line="240" w:lineRule="auto"/>
              <w:jc w:val="center"/>
              <w:rPr>
                <w:rFonts w:eastAsia="Times New Roman" w:cs="Calibri"/>
                <w:b/>
                <w:sz w:val="24"/>
                <w:szCs w:val="24"/>
                <w:lang w:eastAsia="ar-SA"/>
              </w:rPr>
            </w:pPr>
            <w:r w:rsidRPr="00974CCA">
              <w:rPr>
                <w:rFonts w:eastAsia="Times New Roman" w:cs="Calibri"/>
                <w:b/>
                <w:sz w:val="24"/>
                <w:szCs w:val="24"/>
                <w:lang w:eastAsia="ar-SA"/>
              </w:rPr>
              <w:t>Cena v Kč bez DPH</w:t>
            </w:r>
          </w:p>
        </w:tc>
      </w:tr>
      <w:tr w:rsidR="00970D40" w:rsidRPr="00974CCA" w:rsidTr="002E4A70">
        <w:trPr>
          <w:trHeight w:val="376"/>
        </w:trPr>
        <w:tc>
          <w:tcPr>
            <w:tcW w:w="6487" w:type="dxa"/>
          </w:tcPr>
          <w:p w:rsidR="00970D40" w:rsidRPr="00974CCA" w:rsidRDefault="00970D40" w:rsidP="00985772">
            <w:pPr>
              <w:suppressAutoHyphens/>
              <w:spacing w:before="60" w:after="60" w:line="240" w:lineRule="auto"/>
              <w:rPr>
                <w:rFonts w:eastAsia="Times New Roman" w:cs="Calibri"/>
                <w:sz w:val="24"/>
                <w:szCs w:val="24"/>
                <w:lang w:eastAsia="ar-SA"/>
              </w:rPr>
            </w:pPr>
            <w:r>
              <w:rPr>
                <w:rFonts w:eastAsia="Times New Roman" w:cs="Calibri"/>
                <w:sz w:val="24"/>
                <w:szCs w:val="24"/>
                <w:lang w:eastAsia="ar-SA"/>
              </w:rPr>
              <w:t>Silnice II/348 Polná</w:t>
            </w:r>
          </w:p>
        </w:tc>
        <w:tc>
          <w:tcPr>
            <w:tcW w:w="3402" w:type="dxa"/>
            <w:vAlign w:val="center"/>
          </w:tcPr>
          <w:p w:rsidR="00970D40" w:rsidRPr="00974CCA" w:rsidRDefault="00970D40" w:rsidP="00985772">
            <w:pPr>
              <w:suppressAutoHyphens/>
              <w:spacing w:after="0" w:line="240" w:lineRule="auto"/>
              <w:rPr>
                <w:rFonts w:eastAsia="Times New Roman" w:cs="Calibri"/>
                <w:sz w:val="24"/>
                <w:szCs w:val="24"/>
                <w:lang w:eastAsia="ar-SA"/>
              </w:rPr>
            </w:pPr>
          </w:p>
        </w:tc>
      </w:tr>
      <w:tr w:rsidR="00970D40" w:rsidRPr="00974CCA" w:rsidTr="002E4A70">
        <w:trPr>
          <w:trHeight w:val="395"/>
        </w:trPr>
        <w:tc>
          <w:tcPr>
            <w:tcW w:w="6487" w:type="dxa"/>
          </w:tcPr>
          <w:p w:rsidR="00970D40" w:rsidRPr="00974CCA" w:rsidRDefault="00970D40" w:rsidP="00985772">
            <w:pPr>
              <w:suppressAutoHyphens/>
              <w:spacing w:before="60" w:after="60" w:line="240" w:lineRule="auto"/>
              <w:rPr>
                <w:rFonts w:eastAsia="Times New Roman" w:cs="Calibri"/>
                <w:sz w:val="24"/>
                <w:szCs w:val="24"/>
                <w:lang w:eastAsia="ar-SA"/>
              </w:rPr>
            </w:pPr>
            <w:r>
              <w:rPr>
                <w:rFonts w:eastAsia="Times New Roman" w:cs="Calibri"/>
                <w:sz w:val="24"/>
                <w:szCs w:val="24"/>
                <w:lang w:eastAsia="ar-SA"/>
              </w:rPr>
              <w:t>Silnice II/405 Brtnice</w:t>
            </w:r>
          </w:p>
        </w:tc>
        <w:tc>
          <w:tcPr>
            <w:tcW w:w="3402" w:type="dxa"/>
            <w:vAlign w:val="center"/>
          </w:tcPr>
          <w:p w:rsidR="00970D40" w:rsidRPr="00974CCA" w:rsidRDefault="00970D40" w:rsidP="00985772">
            <w:pPr>
              <w:suppressAutoHyphens/>
              <w:spacing w:after="0" w:line="240" w:lineRule="auto"/>
              <w:rPr>
                <w:rFonts w:eastAsia="Times New Roman" w:cs="Calibri"/>
                <w:sz w:val="24"/>
                <w:szCs w:val="24"/>
                <w:lang w:eastAsia="ar-SA"/>
              </w:rPr>
            </w:pPr>
          </w:p>
        </w:tc>
      </w:tr>
      <w:tr w:rsidR="00970D40" w:rsidRPr="00974CCA" w:rsidTr="002E4A70">
        <w:trPr>
          <w:trHeight w:val="426"/>
        </w:trPr>
        <w:tc>
          <w:tcPr>
            <w:tcW w:w="6487" w:type="dxa"/>
            <w:shd w:val="clear" w:color="auto" w:fill="FDE9D9" w:themeFill="accent6" w:themeFillTint="33"/>
          </w:tcPr>
          <w:p w:rsidR="00970D40" w:rsidRPr="00974CCA" w:rsidRDefault="00970D40" w:rsidP="00985772">
            <w:pPr>
              <w:suppressAutoHyphens/>
              <w:spacing w:before="120" w:after="120" w:line="240" w:lineRule="auto"/>
              <w:rPr>
                <w:rFonts w:eastAsia="Times New Roman" w:cs="Calibri"/>
                <w:sz w:val="24"/>
                <w:szCs w:val="24"/>
                <w:lang w:eastAsia="ar-SA"/>
              </w:rPr>
            </w:pPr>
            <w:r w:rsidRPr="00974CCA">
              <w:rPr>
                <w:rFonts w:eastAsia="Times New Roman" w:cs="Calibri"/>
                <w:b/>
                <w:sz w:val="24"/>
                <w:szCs w:val="24"/>
                <w:lang w:eastAsia="ar-SA"/>
              </w:rPr>
              <w:t>Cena za II. etapu měření v Kč bez DPH:</w:t>
            </w:r>
          </w:p>
        </w:tc>
        <w:tc>
          <w:tcPr>
            <w:tcW w:w="3402" w:type="dxa"/>
            <w:shd w:val="clear" w:color="auto" w:fill="FDE9D9" w:themeFill="accent6" w:themeFillTint="33"/>
            <w:vAlign w:val="center"/>
          </w:tcPr>
          <w:p w:rsidR="00970D40" w:rsidRPr="00974CCA" w:rsidRDefault="00970D40" w:rsidP="00985772">
            <w:pPr>
              <w:suppressAutoHyphens/>
              <w:spacing w:after="0" w:line="240" w:lineRule="auto"/>
              <w:rPr>
                <w:rFonts w:eastAsia="Times New Roman" w:cs="Calibri"/>
                <w:b/>
                <w:sz w:val="24"/>
                <w:szCs w:val="24"/>
                <w:lang w:eastAsia="ar-SA"/>
              </w:rPr>
            </w:pPr>
          </w:p>
        </w:tc>
      </w:tr>
    </w:tbl>
    <w:p w:rsidR="00970D40" w:rsidRDefault="00970D40" w:rsidP="00970D40">
      <w:pPr>
        <w:suppressAutoHyphens/>
        <w:spacing w:after="0" w:line="240" w:lineRule="auto"/>
        <w:rPr>
          <w:rFonts w:eastAsia="Times New Roman" w:cs="Calibri"/>
          <w:sz w:val="24"/>
          <w:szCs w:val="24"/>
          <w:lang w:eastAsia="ar-SA"/>
        </w:rPr>
      </w:pPr>
    </w:p>
    <w:p w:rsidR="00970D40" w:rsidRPr="00841D0C" w:rsidRDefault="00970D40" w:rsidP="00970D40">
      <w:pPr>
        <w:suppressAutoHyphens/>
        <w:spacing w:after="0" w:line="240" w:lineRule="auto"/>
        <w:rPr>
          <w:rFonts w:eastAsia="Times New Roman" w:cs="Calibri"/>
          <w:sz w:val="24"/>
          <w:szCs w:val="24"/>
          <w:lang w:eastAsia="ar-SA"/>
        </w:rPr>
      </w:pPr>
    </w:p>
    <w:p w:rsidR="00970D40" w:rsidRPr="00841D0C" w:rsidRDefault="00970D40" w:rsidP="00970D40">
      <w:pPr>
        <w:tabs>
          <w:tab w:val="center" w:pos="1985"/>
          <w:tab w:val="center" w:pos="7371"/>
        </w:tabs>
        <w:spacing w:after="0" w:line="240" w:lineRule="auto"/>
        <w:rPr>
          <w:rFonts w:eastAsia="Times New Roman" w:cs="Calibri"/>
          <w:sz w:val="24"/>
          <w:szCs w:val="24"/>
          <w:lang w:eastAsia="cs-CZ"/>
        </w:rPr>
      </w:pPr>
    </w:p>
    <w:p w:rsidR="00970D40" w:rsidRPr="009063CA" w:rsidRDefault="00970D40" w:rsidP="00970D40">
      <w:pPr>
        <w:suppressAutoHyphens/>
        <w:spacing w:before="120" w:after="120" w:line="240" w:lineRule="auto"/>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lastRenderedPageBreak/>
        <w:t xml:space="preserve">Příloha </w:t>
      </w:r>
      <w:r w:rsidR="007F4A19">
        <w:rPr>
          <w:rFonts w:eastAsia="Times New Roman" w:cs="Calibri"/>
          <w:b/>
          <w:sz w:val="20"/>
          <w:szCs w:val="20"/>
          <w:lang w:eastAsia="ar-SA"/>
        </w:rPr>
        <w:t>A2</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C17F2A" w:rsidRPr="00841D0C" w:rsidRDefault="002E4A70" w:rsidP="00C17F2A">
      <w:pPr>
        <w:suppressAutoHyphens/>
        <w:spacing w:after="0" w:line="240" w:lineRule="auto"/>
        <w:rPr>
          <w:rFonts w:eastAsia="Times New Roman" w:cs="Calibri"/>
          <w:sz w:val="24"/>
          <w:szCs w:val="24"/>
          <w:lang w:eastAsia="cs-CZ"/>
        </w:rPr>
      </w:pPr>
      <w:r>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C17F2A" w:rsidRPr="00841D0C">
        <w:rPr>
          <w:rFonts w:eastAsia="Times New Roman" w:cs="Calibri"/>
          <w:b/>
          <w:sz w:val="24"/>
          <w:szCs w:val="24"/>
          <w:lang w:eastAsia="ar-SA"/>
        </w:rPr>
        <w:t>„</w:t>
      </w:r>
      <w:r w:rsidR="00C17F2A" w:rsidRPr="00841D0C">
        <w:rPr>
          <w:rFonts w:eastAsia="Times New Roman" w:cs="Calibri"/>
          <w:b/>
          <w:sz w:val="24"/>
          <w:szCs w:val="24"/>
          <w:shd w:val="clear" w:color="auto" w:fill="D9D9D9"/>
          <w:lang w:eastAsia="ar-SA"/>
        </w:rPr>
        <w:t>[Bude doplněno před uzavřením smlouvy]</w:t>
      </w:r>
      <w:r w:rsidR="00C17F2A" w:rsidRPr="00841D0C">
        <w:rPr>
          <w:rFonts w:eastAsia="Times New Roman" w:cs="Calibri"/>
          <w:b/>
          <w:sz w:val="24"/>
          <w:szCs w:val="24"/>
          <w:lang w:eastAsia="ar-SA"/>
        </w:rPr>
        <w:t>”</w:t>
      </w:r>
    </w:p>
    <w:p w:rsidR="002E4A70" w:rsidRDefault="00C17F2A" w:rsidP="00841D0C">
      <w:pPr>
        <w:suppressAutoHyphens/>
        <w:spacing w:after="0" w:line="240" w:lineRule="auto"/>
        <w:rPr>
          <w:rFonts w:eastAsia="Times New Roman" w:cs="Calibri"/>
          <w:b/>
          <w:sz w:val="24"/>
          <w:szCs w:val="24"/>
          <w:lang w:eastAsia="ar-SA"/>
        </w:rPr>
      </w:pPr>
      <w:r>
        <w:rPr>
          <w:rFonts w:eastAsia="Times New Roman" w:cs="Calibri"/>
          <w:b/>
          <w:sz w:val="24"/>
          <w:szCs w:val="24"/>
          <w:lang w:eastAsia="ar-SA"/>
        </w:rPr>
        <w:tab/>
      </w:r>
      <w:r>
        <w:rPr>
          <w:rFonts w:eastAsia="Times New Roman" w:cs="Calibri"/>
          <w:b/>
          <w:sz w:val="24"/>
          <w:szCs w:val="24"/>
          <w:lang w:eastAsia="ar-SA"/>
        </w:rPr>
        <w:tab/>
      </w:r>
      <w:r>
        <w:rPr>
          <w:rFonts w:eastAsia="Times New Roman" w:cs="Calibri"/>
          <w:b/>
          <w:sz w:val="24"/>
          <w:szCs w:val="24"/>
          <w:lang w:eastAsia="ar-SA"/>
        </w:rPr>
        <w:tab/>
      </w:r>
    </w:p>
    <w:p w:rsidR="002E4A70" w:rsidRPr="006A0F0C" w:rsidRDefault="002E4A70" w:rsidP="002E4A70">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tel.: ……………, e-mail.: ……………………….</w:t>
      </w:r>
    </w:p>
    <w:p w:rsidR="00C17F2A" w:rsidRPr="00841D0C" w:rsidRDefault="00C17F2A" w:rsidP="00841D0C">
      <w:pPr>
        <w:suppressAutoHyphens/>
        <w:spacing w:after="0" w:line="240" w:lineRule="auto"/>
        <w:rPr>
          <w:rFonts w:eastAsia="Times New Roman" w:cs="Calibri"/>
          <w:sz w:val="24"/>
          <w:szCs w:val="24"/>
          <w:lang w:eastAsia="cs-CZ"/>
        </w:rPr>
      </w:pPr>
      <w:r>
        <w:rPr>
          <w:rFonts w:eastAsia="Times New Roman" w:cs="Calibri"/>
          <w:b/>
          <w:sz w:val="24"/>
          <w:szCs w:val="24"/>
          <w:lang w:eastAsia="ar-SA"/>
        </w:rPr>
        <w:tab/>
      </w:r>
      <w:r>
        <w:rPr>
          <w:rFonts w:eastAsia="Times New Roman" w:cs="Calibri"/>
          <w:b/>
          <w:sz w:val="24"/>
          <w:szCs w:val="24"/>
          <w:lang w:eastAsia="ar-SA"/>
        </w:rPr>
        <w:tab/>
      </w:r>
      <w:r>
        <w:rPr>
          <w:rFonts w:eastAsia="Times New Roman" w:cs="Calibri"/>
          <w:b/>
          <w:sz w:val="24"/>
          <w:szCs w:val="24"/>
          <w:lang w:eastAsia="ar-SA"/>
        </w:rPr>
        <w:tab/>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2E4A70" w:rsidRDefault="002E4A70" w:rsidP="00841D0C">
      <w:pPr>
        <w:suppressAutoHyphens/>
        <w:spacing w:after="0" w:line="240" w:lineRule="auto"/>
        <w:rPr>
          <w:rFonts w:eastAsia="Times New Roman" w:cs="Calibri"/>
          <w:bCs/>
          <w:sz w:val="24"/>
          <w:szCs w:val="24"/>
          <w:u w:val="single"/>
          <w:lang w:eastAsia="cs-CZ"/>
        </w:rPr>
      </w:pPr>
    </w:p>
    <w:p w:rsidR="002E4A70" w:rsidRPr="006A0F0C" w:rsidRDefault="002E4A70" w:rsidP="002E4A70">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tel.: ……………, e-mail.: ……………………….</w:t>
      </w:r>
    </w:p>
    <w:p w:rsidR="00841D0C" w:rsidRDefault="00841D0C"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DC7B15" w:rsidP="00841D0C">
      <w:pPr>
        <w:suppressAutoHyphens/>
        <w:spacing w:after="0" w:line="240" w:lineRule="auto"/>
        <w:rPr>
          <w:rFonts w:eastAsia="Times New Roman" w:cs="Calibri"/>
          <w:sz w:val="24"/>
          <w:szCs w:val="24"/>
          <w:lang w:eastAsia="ar-SA"/>
        </w:rPr>
      </w:pPr>
      <w:r>
        <w:rPr>
          <w:rFonts w:eastAsia="Times New Roman" w:cs="Calibri"/>
          <w:sz w:val="24"/>
          <w:szCs w:val="24"/>
          <w:lang w:eastAsia="ar-SA"/>
        </w:rPr>
        <w:t xml:space="preserve">                                                                                                                                                                                                                                                                                                                                                                                                                                                                                                                                                                                                                                                                                                                                                                                                                                                                                                                                                                                                                                                                                                                                                                                                                                                                                                                                                                                                                                                                                                                                                                                                                                                                                                                                                                                                                                                                                                                                                                                                                                                                                                                                                                                                                                                                                                                                                                                                                                                                                                                                                                                                                                                                                                                                                                                                                                                                                                                                                                                                                                                                                                                                                                                                                                                                                                                                                                                                                                                                                                                                                                                                                                                                                                                                                                                                                                                                                                                                                                                                                                                                                                                                                                                                                                                                                                                                                                                                                                                                                                                                                                                                                                                                                                                                                                                                                                                                                                                                                                                                                                                                                                                                                                                                                                                                                                                                                                                                                                                                                                                                                                                                                                                                                                                                                                                                                                                                                                                                                                                                           </w:t>
      </w: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sectPr w:rsidR="00974C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9D4B78">
      <w:rPr>
        <w:rFonts w:ascii="Times New Roman" w:hAnsi="Times New Roman"/>
        <w:b/>
        <w:noProof/>
      </w:rPr>
      <w:t>10</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9D4B78">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ED2513" w:rsidRDefault="00ED2513" w:rsidP="001F373D">
          <w:pPr>
            <w:suppressAutoHyphens/>
            <w:spacing w:after="0" w:line="240" w:lineRule="auto"/>
            <w:rPr>
              <w:rFonts w:asciiTheme="minorHAnsi" w:hAnsiTheme="minorHAnsi" w:cstheme="minorHAnsi"/>
              <w:bCs/>
              <w:sz w:val="20"/>
              <w:szCs w:val="20"/>
            </w:rPr>
          </w:pPr>
          <w:r>
            <w:rPr>
              <w:rFonts w:asciiTheme="minorHAnsi" w:hAnsiTheme="minorHAnsi" w:cstheme="minorHAnsi"/>
              <w:bCs/>
              <w:sz w:val="20"/>
              <w:szCs w:val="20"/>
            </w:rPr>
            <w:t>P</w:t>
          </w:r>
          <w:r w:rsidR="00336D4C">
            <w:rPr>
              <w:rFonts w:asciiTheme="minorHAnsi" w:hAnsiTheme="minorHAnsi" w:cstheme="minorHAnsi"/>
              <w:bCs/>
              <w:sz w:val="20"/>
              <w:szCs w:val="20"/>
            </w:rPr>
            <w:t>rotihluková opatření 2020 -</w:t>
          </w:r>
          <w:r>
            <w:rPr>
              <w:rFonts w:asciiTheme="minorHAnsi" w:hAnsiTheme="minorHAnsi" w:cstheme="minorHAnsi"/>
              <w:bCs/>
              <w:sz w:val="20"/>
              <w:szCs w:val="20"/>
            </w:rPr>
            <w:t xml:space="preserve"> II. etapa měření</w:t>
          </w:r>
        </w:p>
        <w:p w:rsidR="00C45593" w:rsidRPr="00C45593" w:rsidRDefault="00C45593" w:rsidP="001F373D">
          <w:pPr>
            <w:suppressAutoHyphens/>
            <w:spacing w:after="0" w:line="240" w:lineRule="auto"/>
            <w:rPr>
              <w:rFonts w:asciiTheme="minorHAnsi" w:hAnsiTheme="minorHAnsi" w:cstheme="minorHAnsi"/>
              <w:sz w:val="20"/>
              <w:szCs w:val="20"/>
            </w:rPr>
          </w:pPr>
          <w:r w:rsidRPr="00C45593">
            <w:rPr>
              <w:rFonts w:asciiTheme="minorHAnsi" w:hAnsiTheme="minorHAnsi" w:cstheme="minorHAnsi"/>
              <w:sz w:val="20"/>
              <w:szCs w:val="20"/>
            </w:rPr>
            <w:t xml:space="preserve">Část 1  - </w:t>
          </w:r>
          <w:r w:rsidR="001F373D">
            <w:rPr>
              <w:rFonts w:asciiTheme="minorHAnsi" w:hAnsiTheme="minorHAnsi" w:cstheme="minorHAnsi"/>
              <w:sz w:val="20"/>
              <w:szCs w:val="20"/>
            </w:rPr>
            <w:t>Okres</w:t>
          </w:r>
          <w:r w:rsidR="00ED2513">
            <w:rPr>
              <w:rFonts w:asciiTheme="minorHAnsi" w:hAnsiTheme="minorHAnsi" w:cstheme="minorHAnsi"/>
              <w:sz w:val="20"/>
              <w:szCs w:val="20"/>
            </w:rPr>
            <w:t xml:space="preserve"> Jihlava</w:t>
          </w:r>
        </w:p>
      </w:tc>
      <w:tc>
        <w:tcPr>
          <w:tcW w:w="4697" w:type="dxa"/>
          <w:tcBorders>
            <w:bottom w:val="single" w:sz="4" w:space="0" w:color="auto"/>
          </w:tcBorders>
        </w:tcPr>
        <w:p w:rsidR="00C45593" w:rsidRPr="00C45593" w:rsidRDefault="00284970" w:rsidP="00C45593">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w:t>
          </w:r>
          <w:r w:rsidR="00C45593" w:rsidRPr="00C45593">
            <w:rPr>
              <w:rFonts w:asciiTheme="minorHAnsi" w:hAnsiTheme="minorHAnsi" w:cstheme="minorHAnsi"/>
              <w:bCs/>
              <w:sz w:val="20"/>
              <w:szCs w:val="20"/>
            </w:rPr>
            <w:t>1</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969E9CBC"/>
    <w:name w:val="WW8Num4"/>
    <w:lvl w:ilvl="0">
      <w:start w:val="1"/>
      <w:numFmt w:val="decimal"/>
      <w:lvlText w:val="7.%1"/>
      <w:lvlJc w:val="left"/>
      <w:pPr>
        <w:tabs>
          <w:tab w:val="num" w:pos="-218"/>
        </w:tabs>
        <w:ind w:left="502" w:hanging="360"/>
      </w:pPr>
      <w:rPr>
        <w:rFonts w:hint="default"/>
        <w:b/>
        <w:color w:val="auto"/>
      </w:rPr>
    </w:lvl>
  </w:abstractNum>
  <w:abstractNum w:abstractNumId="4" w15:restartNumberingAfterBreak="0">
    <w:nsid w:val="00000005"/>
    <w:multiLevelType w:val="singleLevel"/>
    <w:tmpl w:val="28C8FCE6"/>
    <w:name w:val="WW8Num5"/>
    <w:lvl w:ilvl="0">
      <w:start w:val="1"/>
      <w:numFmt w:val="decimal"/>
      <w:lvlText w:val="8.%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6702188"/>
    <w:multiLevelType w:val="hybridMultilevel"/>
    <w:tmpl w:val="53682B6C"/>
    <w:lvl w:ilvl="0" w:tplc="484E55D6">
      <w:start w:val="1"/>
      <w:numFmt w:val="decimal"/>
      <w:lvlText w:val="2.1.%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0203EE"/>
    <w:multiLevelType w:val="singleLevel"/>
    <w:tmpl w:val="BED8F5EE"/>
    <w:lvl w:ilvl="0">
      <w:start w:val="1"/>
      <w:numFmt w:val="decimal"/>
      <w:lvlText w:val="9.%1."/>
      <w:lvlJc w:val="left"/>
      <w:pPr>
        <w:ind w:left="720" w:hanging="360"/>
      </w:pPr>
      <w:rPr>
        <w:rFonts w:eastAsia="Times New Roman" w:hint="default"/>
        <w:b/>
      </w:rPr>
    </w:lvl>
  </w:abstractNum>
  <w:abstractNum w:abstractNumId="12" w15:restartNumberingAfterBreak="0">
    <w:nsid w:val="21346FD9"/>
    <w:multiLevelType w:val="hybridMultilevel"/>
    <w:tmpl w:val="37D8BBE6"/>
    <w:name w:val="WW8Num52"/>
    <w:lvl w:ilvl="0" w:tplc="C82A76A6">
      <w:start w:val="1"/>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1D3731A"/>
    <w:multiLevelType w:val="hybridMultilevel"/>
    <w:tmpl w:val="1AA6BDC4"/>
    <w:lvl w:ilvl="0" w:tplc="914EE74C">
      <w:start w:val="5"/>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0"/>
  </w:num>
  <w:num w:numId="6">
    <w:abstractNumId w:val="13"/>
  </w:num>
  <w:num w:numId="7">
    <w:abstractNumId w:val="19"/>
  </w:num>
  <w:num w:numId="8">
    <w:abstractNumId w:val="11"/>
  </w:num>
  <w:num w:numId="9">
    <w:abstractNumId w:val="21"/>
  </w:num>
  <w:num w:numId="10">
    <w:abstractNumId w:val="14"/>
  </w:num>
  <w:num w:numId="11">
    <w:abstractNumId w:val="17"/>
  </w:num>
  <w:num w:numId="12">
    <w:abstractNumId w:val="18"/>
  </w:num>
  <w:num w:numId="13">
    <w:abstractNumId w:val="15"/>
  </w:num>
  <w:num w:numId="14">
    <w:abstractNumId w:val="9"/>
  </w:num>
  <w:num w:numId="15">
    <w:abstractNumId w:val="10"/>
  </w:num>
  <w:num w:numId="16">
    <w:abstractNumId w:val="16"/>
  </w:num>
  <w:num w:numId="1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3291"/>
    <w:rsid w:val="002770C6"/>
    <w:rsid w:val="00277CA4"/>
    <w:rsid w:val="00282BAB"/>
    <w:rsid w:val="00284970"/>
    <w:rsid w:val="00294B55"/>
    <w:rsid w:val="002A6FAB"/>
    <w:rsid w:val="002C7A19"/>
    <w:rsid w:val="002D2551"/>
    <w:rsid w:val="002E4A70"/>
    <w:rsid w:val="002E62C6"/>
    <w:rsid w:val="002F3D47"/>
    <w:rsid w:val="002F6000"/>
    <w:rsid w:val="00300263"/>
    <w:rsid w:val="00300EE2"/>
    <w:rsid w:val="00301994"/>
    <w:rsid w:val="00307E57"/>
    <w:rsid w:val="00315460"/>
    <w:rsid w:val="0032255B"/>
    <w:rsid w:val="0032281D"/>
    <w:rsid w:val="003272C6"/>
    <w:rsid w:val="00335A67"/>
    <w:rsid w:val="00336D4C"/>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12FC8"/>
    <w:rsid w:val="00420A12"/>
    <w:rsid w:val="0043276D"/>
    <w:rsid w:val="00441B7D"/>
    <w:rsid w:val="00445049"/>
    <w:rsid w:val="00456745"/>
    <w:rsid w:val="00457B39"/>
    <w:rsid w:val="004677B8"/>
    <w:rsid w:val="0047501D"/>
    <w:rsid w:val="00475F33"/>
    <w:rsid w:val="00481373"/>
    <w:rsid w:val="00482506"/>
    <w:rsid w:val="00482DD4"/>
    <w:rsid w:val="004861A3"/>
    <w:rsid w:val="0048747A"/>
    <w:rsid w:val="00494EC7"/>
    <w:rsid w:val="00496368"/>
    <w:rsid w:val="00497421"/>
    <w:rsid w:val="00497811"/>
    <w:rsid w:val="004A1360"/>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A72E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4A19"/>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53E23"/>
    <w:rsid w:val="00962557"/>
    <w:rsid w:val="00962E6A"/>
    <w:rsid w:val="00970D40"/>
    <w:rsid w:val="00974CCA"/>
    <w:rsid w:val="0097767B"/>
    <w:rsid w:val="0098258C"/>
    <w:rsid w:val="0098394F"/>
    <w:rsid w:val="00983BEE"/>
    <w:rsid w:val="00985294"/>
    <w:rsid w:val="00997E90"/>
    <w:rsid w:val="009A4516"/>
    <w:rsid w:val="009C1635"/>
    <w:rsid w:val="009C395B"/>
    <w:rsid w:val="009D4B78"/>
    <w:rsid w:val="009E14D8"/>
    <w:rsid w:val="009E2EA8"/>
    <w:rsid w:val="009E7878"/>
    <w:rsid w:val="009F3CCE"/>
    <w:rsid w:val="009F43BE"/>
    <w:rsid w:val="009F7F61"/>
    <w:rsid w:val="00A07676"/>
    <w:rsid w:val="00A16001"/>
    <w:rsid w:val="00A2384A"/>
    <w:rsid w:val="00A332FD"/>
    <w:rsid w:val="00A34728"/>
    <w:rsid w:val="00A426C9"/>
    <w:rsid w:val="00A46E02"/>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110F"/>
    <w:rsid w:val="00C07391"/>
    <w:rsid w:val="00C17F2A"/>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C7B15"/>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13"/>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13"/>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33280-7860-4AEF-9166-23F1CC22C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11</Pages>
  <Words>3745</Words>
  <Characters>22102</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25796</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11</cp:revision>
  <cp:lastPrinted>2016-01-27T06:09:00Z</cp:lastPrinted>
  <dcterms:created xsi:type="dcterms:W3CDTF">2020-06-16T08:22:00Z</dcterms:created>
  <dcterms:modified xsi:type="dcterms:W3CDTF">2020-06-18T04:33:00Z</dcterms:modified>
</cp:coreProperties>
</file>